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72" w:rsidRDefault="00C12D72" w:rsidP="00C12D72">
      <w:r>
        <w:rPr>
          <w:noProof/>
          <w:lang w:eastAsia="it-IT"/>
        </w:rPr>
        <w:drawing>
          <wp:anchor distT="0" distB="0" distL="0" distR="0" simplePos="0" relativeHeight="251658240" behindDoc="0" locked="0" layoutInCell="1" allowOverlap="0">
            <wp:simplePos x="0" y="0"/>
            <wp:positionH relativeFrom="column">
              <wp:posOffset>2270760</wp:posOffset>
            </wp:positionH>
            <wp:positionV relativeFrom="line">
              <wp:posOffset>-614045</wp:posOffset>
            </wp:positionV>
            <wp:extent cx="838200" cy="1038225"/>
            <wp:effectExtent l="19050" t="0" r="0" b="0"/>
            <wp:wrapSquare wrapText="bothSides"/>
            <wp:docPr id="2" name="Immagine 2" descr="Stemma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Comunale"/>
                    <pic:cNvPicPr>
                      <a:picLocks noChangeAspect="1" noChangeArrowheads="1"/>
                    </pic:cNvPicPr>
                  </pic:nvPicPr>
                  <pic:blipFill>
                    <a:blip r:embed="rId5" cstate="print"/>
                    <a:srcRect/>
                    <a:stretch>
                      <a:fillRect/>
                    </a:stretch>
                  </pic:blipFill>
                  <pic:spPr bwMode="auto">
                    <a:xfrm>
                      <a:off x="0" y="0"/>
                      <a:ext cx="838200" cy="1038225"/>
                    </a:xfrm>
                    <a:prstGeom prst="rect">
                      <a:avLst/>
                    </a:prstGeom>
                    <a:noFill/>
                    <a:ln w="9525">
                      <a:noFill/>
                      <a:miter lim="800000"/>
                      <a:headEnd/>
                      <a:tailEnd/>
                    </a:ln>
                  </pic:spPr>
                </pic:pic>
              </a:graphicData>
            </a:graphic>
          </wp:anchor>
        </w:drawing>
      </w:r>
    </w:p>
    <w:p w:rsidR="00C12D72" w:rsidRDefault="00C12D72" w:rsidP="00C12D72"/>
    <w:p w:rsidR="00C12D72" w:rsidRPr="00212D48" w:rsidRDefault="00C12D72" w:rsidP="00C12D72">
      <w:pPr>
        <w:pStyle w:val="Titolo"/>
        <w:rPr>
          <w:sz w:val="18"/>
          <w:szCs w:val="18"/>
        </w:rPr>
      </w:pPr>
    </w:p>
    <w:p w:rsidR="00C12D72" w:rsidRDefault="00C12D72" w:rsidP="00C12D72">
      <w:pPr>
        <w:pStyle w:val="Titolo"/>
      </w:pPr>
      <w:r>
        <w:t xml:space="preserve">Città di Castel di Sangro </w:t>
      </w:r>
    </w:p>
    <w:p w:rsidR="00C12D72" w:rsidRPr="004F45EE" w:rsidRDefault="00C12D72" w:rsidP="00C12D72">
      <w:pPr>
        <w:jc w:val="center"/>
        <w:rPr>
          <w:rFonts w:ascii="Times New Roman" w:hAnsi="Times New Roman"/>
          <w:b/>
        </w:rPr>
      </w:pPr>
      <w:r w:rsidRPr="004F45EE">
        <w:rPr>
          <w:rFonts w:ascii="Times New Roman" w:hAnsi="Times New Roman"/>
          <w:b/>
        </w:rPr>
        <w:t>Organismo Indipendente di Valutazione</w:t>
      </w:r>
    </w:p>
    <w:p w:rsidR="00C12D72" w:rsidRDefault="00C12D72" w:rsidP="00C12D72">
      <w:pPr>
        <w:jc w:val="center"/>
        <w:rPr>
          <w:rFonts w:ascii="Times New Roman" w:hAnsi="Times New Roman"/>
          <w:b/>
          <w:i/>
          <w:sz w:val="28"/>
          <w:szCs w:val="28"/>
          <w:u w:val="single"/>
        </w:rPr>
      </w:pPr>
    </w:p>
    <w:p w:rsidR="00C12D72" w:rsidRPr="00C12D72" w:rsidRDefault="00C12D72" w:rsidP="00C12D72">
      <w:pPr>
        <w:jc w:val="center"/>
        <w:rPr>
          <w:rFonts w:ascii="Times New Roman" w:hAnsi="Times New Roman"/>
          <w:b/>
          <w:i/>
          <w:sz w:val="28"/>
          <w:szCs w:val="28"/>
          <w:u w:val="single"/>
        </w:rPr>
      </w:pPr>
      <w:hyperlink r:id="rId6" w:history="1">
        <w:r w:rsidRPr="00C12D72">
          <w:rPr>
            <w:rFonts w:ascii="Times New Roman" w:hAnsi="Times New Roman"/>
            <w:b/>
            <w:i/>
            <w:sz w:val="28"/>
            <w:szCs w:val="28"/>
            <w:u w:val="single"/>
          </w:rPr>
          <w:t>Relazione dell'OIV sul funzionamento complessivo del Sistema di valutazione, trasparenza e integrità dei controlli interni</w:t>
        </w:r>
      </w:hyperlink>
    </w:p>
    <w:p w:rsidR="00C12D72" w:rsidRDefault="00B675B7" w:rsidP="00C12D72">
      <w:pPr>
        <w:jc w:val="both"/>
        <w:rPr>
          <w:rFonts w:ascii="Times New Roman" w:hAnsi="Times New Roman"/>
          <w:b/>
          <w:u w:val="single"/>
        </w:rPr>
      </w:pPr>
      <w:r>
        <w:rPr>
          <w:rFonts w:ascii="Times New Roman" w:hAnsi="Times New Roman"/>
          <w:b/>
          <w:u w:val="single"/>
        </w:rPr>
        <w:t xml:space="preserve">Estratto verbale n.1/2015 </w:t>
      </w:r>
    </w:p>
    <w:p w:rsidR="00C12D72" w:rsidRPr="00002E98" w:rsidRDefault="00C12D72" w:rsidP="00C12D72">
      <w:pPr>
        <w:jc w:val="both"/>
        <w:rPr>
          <w:rFonts w:ascii="Times New Roman" w:hAnsi="Times New Roman"/>
          <w:b/>
          <w:u w:val="single"/>
        </w:rPr>
      </w:pPr>
      <w:r w:rsidRPr="00002E98">
        <w:rPr>
          <w:rFonts w:ascii="Times New Roman" w:hAnsi="Times New Roman"/>
          <w:b/>
          <w:u w:val="single"/>
        </w:rPr>
        <w:t>RESOCONTO ATTIVITA’ 2014</w:t>
      </w:r>
    </w:p>
    <w:p w:rsidR="00C12D72" w:rsidRDefault="00C12D72" w:rsidP="00C12D72">
      <w:pPr>
        <w:jc w:val="both"/>
        <w:rPr>
          <w:rFonts w:ascii="Times New Roman" w:hAnsi="Times New Roman"/>
          <w:b/>
        </w:rPr>
      </w:pPr>
      <w:r>
        <w:rPr>
          <w:rFonts w:ascii="Times New Roman" w:hAnsi="Times New Roman"/>
          <w:b/>
        </w:rPr>
        <w:t>VERBALE N.1 del 29/1/2014</w:t>
      </w:r>
    </w:p>
    <w:p w:rsidR="00C12D72" w:rsidRPr="00CB2915" w:rsidRDefault="00C12D72" w:rsidP="00C12D72">
      <w:pPr>
        <w:jc w:val="both"/>
        <w:rPr>
          <w:rFonts w:ascii="Times New Roman" w:hAnsi="Times New Roman"/>
        </w:rPr>
      </w:pPr>
      <w:r w:rsidRPr="00CB2915">
        <w:rPr>
          <w:rFonts w:ascii="Times New Roman" w:hAnsi="Times New Roman"/>
        </w:rPr>
        <w:t>Lettera a) dell’art.14 comma 4:</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Verifica dell’adozione degli atti fondamentali in materia di trasparenza e di piano delle performance;</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 xml:space="preserve">verifica adempimenti per la trasparenza, ovvero la adozione e pubblicazione dei documenti di cui sopra e degli altri obblighi di pubblicazione;  </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raccolta carte di lavoro quali documentazioni di relazione annuale 2013 (anno concluso);</w:t>
      </w:r>
    </w:p>
    <w:p w:rsidR="00C12D72" w:rsidRPr="00CB2915" w:rsidRDefault="00C12D72" w:rsidP="00C12D72">
      <w:pPr>
        <w:jc w:val="both"/>
        <w:rPr>
          <w:rFonts w:ascii="Times New Roman" w:hAnsi="Times New Roman"/>
        </w:rPr>
      </w:pPr>
      <w:r w:rsidRPr="00CB2915">
        <w:rPr>
          <w:rFonts w:ascii="Times New Roman" w:hAnsi="Times New Roman"/>
        </w:rPr>
        <w:t>lettera e) dell’art.14 comma4:</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avvio delle attività di raccolta dati per l’analisi del performance svolte dai capo settore per i quali deve essere proposta la valutazione annuale per l’attribuzione dei premi;</w:t>
      </w:r>
    </w:p>
    <w:p w:rsidR="00C12D72" w:rsidRPr="00CB2915" w:rsidRDefault="00C12D72" w:rsidP="00C12D72">
      <w:pPr>
        <w:jc w:val="both"/>
        <w:rPr>
          <w:rFonts w:ascii="Times New Roman" w:hAnsi="Times New Roman"/>
        </w:rPr>
      </w:pPr>
      <w:r w:rsidRPr="00CB2915">
        <w:rPr>
          <w:rFonts w:ascii="Times New Roman" w:hAnsi="Times New Roman"/>
        </w:rPr>
        <w:t>lettera f) dell’art.14 comma 4:</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 xml:space="preserve">verifica della corretta applicazione delle linee guida attraverso il controllo sull’adozione e pubblicazione del codice di comportamento dei dipendenti </w:t>
      </w:r>
    </w:p>
    <w:p w:rsidR="00C12D72" w:rsidRPr="00CB2915" w:rsidRDefault="00C12D72" w:rsidP="00C12D72">
      <w:pPr>
        <w:jc w:val="both"/>
        <w:rPr>
          <w:rFonts w:ascii="Times New Roman" w:hAnsi="Times New Roman"/>
        </w:rPr>
      </w:pPr>
      <w:r w:rsidRPr="00CB2915">
        <w:rPr>
          <w:rFonts w:ascii="Times New Roman" w:hAnsi="Times New Roman"/>
        </w:rPr>
        <w:t>lettera g) dell’art.14 comma 4:</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 xml:space="preserve">promozione delle attività di trasparenza supporto ai responsabili; </w:t>
      </w:r>
    </w:p>
    <w:p w:rsidR="00C12D72" w:rsidRPr="00CB2915" w:rsidRDefault="00C12D72" w:rsidP="00C12D72">
      <w:pPr>
        <w:jc w:val="both"/>
        <w:rPr>
          <w:rFonts w:ascii="Times New Roman" w:hAnsi="Times New Roman"/>
        </w:rPr>
      </w:pPr>
      <w:r w:rsidRPr="00CB2915">
        <w:rPr>
          <w:rFonts w:ascii="Times New Roman" w:hAnsi="Times New Roman"/>
        </w:rPr>
        <w:t>art.14 comma 5 avvio della organizzazione per effettuare la prima indagine sul Benessere organizzativo;</w:t>
      </w:r>
    </w:p>
    <w:p w:rsidR="00C12D72" w:rsidRDefault="00C12D72" w:rsidP="00C12D72">
      <w:pPr>
        <w:jc w:val="both"/>
        <w:rPr>
          <w:rFonts w:ascii="Times New Roman" w:hAnsi="Times New Roman"/>
          <w:b/>
        </w:rPr>
      </w:pPr>
      <w:r>
        <w:rPr>
          <w:rFonts w:ascii="Times New Roman" w:hAnsi="Times New Roman"/>
          <w:b/>
        </w:rPr>
        <w:t>VERBALE N.2 del 4/4/2014</w:t>
      </w:r>
    </w:p>
    <w:p w:rsidR="00C12D72" w:rsidRDefault="00C12D72" w:rsidP="00C12D72">
      <w:pPr>
        <w:jc w:val="both"/>
        <w:rPr>
          <w:rFonts w:ascii="Times New Roman" w:hAnsi="Times New Roman"/>
        </w:rPr>
      </w:pPr>
      <w:r w:rsidRPr="00CB2915">
        <w:rPr>
          <w:rFonts w:ascii="Times New Roman" w:hAnsi="Times New Roman"/>
        </w:rPr>
        <w:t xml:space="preserve">lettera </w:t>
      </w:r>
      <w:r>
        <w:rPr>
          <w:rFonts w:ascii="Times New Roman" w:hAnsi="Times New Roman"/>
        </w:rPr>
        <w:t xml:space="preserve">a e </w:t>
      </w:r>
      <w:r w:rsidRPr="00CB2915">
        <w:rPr>
          <w:rFonts w:ascii="Times New Roman" w:hAnsi="Times New Roman"/>
        </w:rPr>
        <w:t>g) dell’art.14 comma 4:</w:t>
      </w:r>
    </w:p>
    <w:p w:rsidR="00C12D72" w:rsidRPr="00CB2915" w:rsidRDefault="00C12D72" w:rsidP="00C12D72">
      <w:pPr>
        <w:numPr>
          <w:ilvl w:val="0"/>
          <w:numId w:val="1"/>
        </w:numPr>
        <w:jc w:val="both"/>
        <w:rPr>
          <w:rFonts w:ascii="Times New Roman" w:hAnsi="Times New Roman"/>
        </w:rPr>
      </w:pPr>
      <w:r>
        <w:rPr>
          <w:rFonts w:ascii="Times New Roman" w:hAnsi="Times New Roman"/>
        </w:rPr>
        <w:t>monitoraggio sul sistema con particolare riguardo alla trasparenza ed integrità del sistema;</w:t>
      </w:r>
    </w:p>
    <w:p w:rsidR="00C12D72" w:rsidRDefault="00C12D72" w:rsidP="00C12D72">
      <w:pPr>
        <w:numPr>
          <w:ilvl w:val="0"/>
          <w:numId w:val="1"/>
        </w:numPr>
        <w:jc w:val="both"/>
        <w:rPr>
          <w:rFonts w:ascii="Times New Roman" w:hAnsi="Times New Roman"/>
        </w:rPr>
      </w:pPr>
      <w:r w:rsidRPr="00CB2915">
        <w:rPr>
          <w:rFonts w:ascii="Times New Roman" w:hAnsi="Times New Roman"/>
        </w:rPr>
        <w:t xml:space="preserve">promozione delle attività di trasparenza supporto ai responsabili; </w:t>
      </w:r>
    </w:p>
    <w:p w:rsidR="00C12D72" w:rsidRPr="00CB2915" w:rsidRDefault="00C12D72" w:rsidP="00C12D72">
      <w:pPr>
        <w:jc w:val="both"/>
        <w:rPr>
          <w:rFonts w:ascii="Times New Roman" w:hAnsi="Times New Roman"/>
        </w:rPr>
      </w:pPr>
      <w:r w:rsidRPr="00CB2915">
        <w:rPr>
          <w:rFonts w:ascii="Times New Roman" w:hAnsi="Times New Roman"/>
        </w:rPr>
        <w:t xml:space="preserve">art.14 comma </w:t>
      </w:r>
      <w:r>
        <w:rPr>
          <w:rFonts w:ascii="Times New Roman" w:hAnsi="Times New Roman"/>
        </w:rPr>
        <w:t xml:space="preserve">5 attività per </w:t>
      </w:r>
      <w:r w:rsidRPr="00CB2915">
        <w:rPr>
          <w:rFonts w:ascii="Times New Roman" w:hAnsi="Times New Roman"/>
        </w:rPr>
        <w:t xml:space="preserve"> la prima indagine sul Benessere organizzativo;</w:t>
      </w:r>
    </w:p>
    <w:p w:rsidR="00C12D72" w:rsidRDefault="00C12D72" w:rsidP="00C12D72">
      <w:pPr>
        <w:jc w:val="both"/>
        <w:rPr>
          <w:rFonts w:ascii="Times New Roman" w:hAnsi="Times New Roman"/>
          <w:b/>
        </w:rPr>
      </w:pPr>
      <w:r>
        <w:rPr>
          <w:rFonts w:ascii="Times New Roman" w:hAnsi="Times New Roman"/>
          <w:b/>
        </w:rPr>
        <w:lastRenderedPageBreak/>
        <w:t>VERBALE N.3 del 9/5/2014</w:t>
      </w:r>
    </w:p>
    <w:p w:rsidR="00C12D72" w:rsidRDefault="00C12D72" w:rsidP="00C12D72">
      <w:pPr>
        <w:jc w:val="both"/>
        <w:rPr>
          <w:rFonts w:ascii="Times New Roman" w:hAnsi="Times New Roman"/>
        </w:rPr>
      </w:pPr>
      <w:r w:rsidRPr="00CB2915">
        <w:rPr>
          <w:rFonts w:ascii="Times New Roman" w:hAnsi="Times New Roman"/>
        </w:rPr>
        <w:t xml:space="preserve">lettera </w:t>
      </w:r>
      <w:r>
        <w:rPr>
          <w:rFonts w:ascii="Times New Roman" w:hAnsi="Times New Roman"/>
        </w:rPr>
        <w:t xml:space="preserve">a e </w:t>
      </w:r>
      <w:r w:rsidRPr="00CB2915">
        <w:rPr>
          <w:rFonts w:ascii="Times New Roman" w:hAnsi="Times New Roman"/>
        </w:rPr>
        <w:t>g) dell’art.14 comma 4:</w:t>
      </w:r>
    </w:p>
    <w:p w:rsidR="00C12D72" w:rsidRPr="00CB2915" w:rsidRDefault="00C12D72" w:rsidP="00C12D72">
      <w:pPr>
        <w:numPr>
          <w:ilvl w:val="0"/>
          <w:numId w:val="1"/>
        </w:numPr>
        <w:jc w:val="both"/>
        <w:rPr>
          <w:rFonts w:ascii="Times New Roman" w:hAnsi="Times New Roman"/>
        </w:rPr>
      </w:pPr>
      <w:r>
        <w:rPr>
          <w:rFonts w:ascii="Times New Roman" w:hAnsi="Times New Roman"/>
        </w:rPr>
        <w:t>monitoraggio sul sistema con particolare riguardo alla trasparenza ed integrità del sistema;</w:t>
      </w:r>
    </w:p>
    <w:p w:rsidR="00C12D72" w:rsidRDefault="00C12D72" w:rsidP="00C12D72">
      <w:pPr>
        <w:numPr>
          <w:ilvl w:val="0"/>
          <w:numId w:val="1"/>
        </w:numPr>
        <w:jc w:val="both"/>
        <w:rPr>
          <w:rFonts w:ascii="Times New Roman" w:hAnsi="Times New Roman"/>
        </w:rPr>
      </w:pPr>
      <w:r w:rsidRPr="00CB2915">
        <w:rPr>
          <w:rFonts w:ascii="Times New Roman" w:hAnsi="Times New Roman"/>
        </w:rPr>
        <w:t xml:space="preserve">promozione delle attività di trasparenza supporto ai responsabili; </w:t>
      </w:r>
    </w:p>
    <w:p w:rsidR="00C12D72" w:rsidRDefault="00C12D72" w:rsidP="00C12D72">
      <w:pPr>
        <w:jc w:val="both"/>
        <w:rPr>
          <w:rFonts w:ascii="Times New Roman" w:hAnsi="Times New Roman"/>
        </w:rPr>
      </w:pPr>
      <w:r>
        <w:rPr>
          <w:rFonts w:ascii="Times New Roman" w:hAnsi="Times New Roman"/>
        </w:rPr>
        <w:t xml:space="preserve">prende atto e attesta l’adozione della documentazione seguente: </w:t>
      </w:r>
    </w:p>
    <w:p w:rsidR="00C12D72" w:rsidRPr="004E2BD9" w:rsidRDefault="00C12D72" w:rsidP="00C12D72">
      <w:pPr>
        <w:autoSpaceDE w:val="0"/>
        <w:autoSpaceDN w:val="0"/>
        <w:adjustRightInd w:val="0"/>
        <w:spacing w:after="0" w:line="240" w:lineRule="auto"/>
        <w:rPr>
          <w:rFonts w:ascii="Times New Roman" w:hAnsi="Times New Roman"/>
        </w:rPr>
      </w:pPr>
      <w:r w:rsidRPr="004E2BD9">
        <w:rPr>
          <w:rFonts w:ascii="Times New Roman" w:hAnsi="Times New Roman"/>
        </w:rPr>
        <w:t>L’OIV prende atto della adozione del Piano delle Performance con deliberazione di Giunta  comunale N. 20 del 30/01/2014.</w:t>
      </w:r>
    </w:p>
    <w:p w:rsidR="00C12D72" w:rsidRPr="004E2BD9" w:rsidRDefault="00C12D72" w:rsidP="00C12D72">
      <w:pPr>
        <w:autoSpaceDE w:val="0"/>
        <w:autoSpaceDN w:val="0"/>
        <w:adjustRightInd w:val="0"/>
        <w:spacing w:after="0" w:line="240" w:lineRule="auto"/>
        <w:rPr>
          <w:rFonts w:ascii="Times New Roman" w:hAnsi="Times New Roman"/>
        </w:rPr>
      </w:pPr>
      <w:r w:rsidRPr="004E2BD9">
        <w:rPr>
          <w:rFonts w:ascii="Times New Roman" w:hAnsi="Times New Roman"/>
        </w:rPr>
        <w:t xml:space="preserve">L’OIV riscontra che è stata adottata la deliberazione di Giunta comunale n.18/2014 con elenco dei procedimenti responsabili e termini (utile ai fini del controllo anche in materia di rispetto delle regole dettate e di anticorruzione). </w:t>
      </w:r>
    </w:p>
    <w:p w:rsidR="00C12D72" w:rsidRPr="004E2BD9" w:rsidRDefault="00C12D72" w:rsidP="00C12D72">
      <w:pPr>
        <w:autoSpaceDE w:val="0"/>
        <w:autoSpaceDN w:val="0"/>
        <w:adjustRightInd w:val="0"/>
        <w:spacing w:before="100" w:after="100" w:line="240" w:lineRule="auto"/>
        <w:rPr>
          <w:rFonts w:ascii="Times New Roman" w:hAnsi="Times New Roman"/>
          <w:sz w:val="24"/>
          <w:szCs w:val="24"/>
          <w:lang w:eastAsia="it-IT"/>
        </w:rPr>
      </w:pPr>
      <w:r w:rsidRPr="004E2BD9">
        <w:rPr>
          <w:rFonts w:ascii="Times New Roman" w:hAnsi="Times New Roman"/>
        </w:rPr>
        <w:t>L’OIV riscontra che è stata adottata la deliberazione di Giunta comunale n.17/2014 contenente il Piano per la trasparenza e l’integrità.</w:t>
      </w:r>
    </w:p>
    <w:p w:rsidR="00C12D72" w:rsidRPr="004E2BD9" w:rsidRDefault="00C12D72" w:rsidP="00C12D72">
      <w:pPr>
        <w:autoSpaceDE w:val="0"/>
        <w:autoSpaceDN w:val="0"/>
        <w:adjustRightInd w:val="0"/>
        <w:spacing w:before="100" w:after="100" w:line="240" w:lineRule="auto"/>
        <w:rPr>
          <w:rFonts w:ascii="Times New Roman" w:hAnsi="Times New Roman"/>
        </w:rPr>
      </w:pPr>
      <w:r w:rsidRPr="004E2BD9">
        <w:rPr>
          <w:rFonts w:ascii="Times New Roman" w:hAnsi="Times New Roman"/>
        </w:rPr>
        <w:t>L’OIV riscontra che è stata adottata la deliberazione di Giunta comunale n.16/2014 contenente il Piano anticorruzione.</w:t>
      </w:r>
    </w:p>
    <w:p w:rsidR="00C12D72" w:rsidRPr="004E2BD9" w:rsidRDefault="00C12D72" w:rsidP="00C12D72">
      <w:pPr>
        <w:autoSpaceDE w:val="0"/>
        <w:autoSpaceDN w:val="0"/>
        <w:adjustRightInd w:val="0"/>
        <w:spacing w:before="100" w:after="100" w:line="240" w:lineRule="auto"/>
        <w:rPr>
          <w:rFonts w:ascii="Times New Roman" w:hAnsi="Times New Roman"/>
        </w:rPr>
      </w:pPr>
      <w:r w:rsidRPr="004E2BD9">
        <w:rPr>
          <w:rFonts w:ascii="Times New Roman" w:hAnsi="Times New Roman"/>
        </w:rPr>
        <w:t>L’OIV riscontra che devono essere pubblicati nel sito i documenti di cui sopra ed altresì i criteri e le modalità per le sovvenzioni e per altri ausili economici di cui alle deliberazioni di c.c. n.52/1993 e n.23/2005.</w:t>
      </w:r>
    </w:p>
    <w:p w:rsidR="00C12D72" w:rsidRDefault="00C12D72" w:rsidP="00C12D72">
      <w:pPr>
        <w:jc w:val="both"/>
        <w:rPr>
          <w:rFonts w:ascii="Times New Roman" w:hAnsi="Times New Roman"/>
        </w:rPr>
      </w:pPr>
      <w:r>
        <w:rPr>
          <w:rFonts w:ascii="Times New Roman" w:hAnsi="Times New Roman"/>
        </w:rPr>
        <w:t>L’</w:t>
      </w:r>
      <w:proofErr w:type="spellStart"/>
      <w:r>
        <w:rPr>
          <w:rFonts w:ascii="Times New Roman" w:hAnsi="Times New Roman"/>
        </w:rPr>
        <w:t>oiv</w:t>
      </w:r>
      <w:proofErr w:type="spellEnd"/>
      <w:r>
        <w:rPr>
          <w:rFonts w:ascii="Times New Roman" w:hAnsi="Times New Roman"/>
        </w:rPr>
        <w:t xml:space="preserve"> riscontra anche l’avvenuta pubblicazione dei documenti di cui sopra. </w:t>
      </w:r>
    </w:p>
    <w:p w:rsidR="00C12D72" w:rsidRDefault="00C12D72" w:rsidP="00C12D72">
      <w:pPr>
        <w:numPr>
          <w:ilvl w:val="0"/>
          <w:numId w:val="1"/>
        </w:numPr>
        <w:jc w:val="both"/>
        <w:rPr>
          <w:rFonts w:ascii="Times New Roman" w:hAnsi="Times New Roman"/>
        </w:rPr>
      </w:pPr>
      <w:r>
        <w:rPr>
          <w:rFonts w:ascii="Times New Roman" w:hAnsi="Times New Roman"/>
        </w:rPr>
        <w:t xml:space="preserve">Verifica la Griglia degli adempimenti sulla trasparenza, procede alla ATTESTAZIONE e dispone la sua pubblicazione. </w:t>
      </w:r>
    </w:p>
    <w:p w:rsidR="00C12D72" w:rsidRPr="00CB2915" w:rsidRDefault="00C12D72" w:rsidP="00C12D72">
      <w:pPr>
        <w:jc w:val="both"/>
        <w:rPr>
          <w:rFonts w:ascii="Times New Roman" w:hAnsi="Times New Roman"/>
        </w:rPr>
      </w:pPr>
      <w:r>
        <w:rPr>
          <w:rFonts w:ascii="Times New Roman" w:hAnsi="Times New Roman"/>
        </w:rPr>
        <w:t>A</w:t>
      </w:r>
      <w:r w:rsidRPr="00CB2915">
        <w:rPr>
          <w:rFonts w:ascii="Times New Roman" w:hAnsi="Times New Roman"/>
        </w:rPr>
        <w:t xml:space="preserve">rt.14 comma </w:t>
      </w:r>
      <w:r>
        <w:rPr>
          <w:rFonts w:ascii="Times New Roman" w:hAnsi="Times New Roman"/>
        </w:rPr>
        <w:t xml:space="preserve">5 attività per </w:t>
      </w:r>
      <w:r w:rsidRPr="00CB2915">
        <w:rPr>
          <w:rFonts w:ascii="Times New Roman" w:hAnsi="Times New Roman"/>
        </w:rPr>
        <w:t xml:space="preserve"> la prima indagine sul Benessere organizzativo;</w:t>
      </w:r>
    </w:p>
    <w:p w:rsidR="00C12D72" w:rsidRDefault="00C12D72" w:rsidP="00C12D72">
      <w:pPr>
        <w:jc w:val="both"/>
        <w:rPr>
          <w:rFonts w:ascii="Times New Roman" w:hAnsi="Times New Roman"/>
          <w:b/>
        </w:rPr>
      </w:pPr>
      <w:r>
        <w:rPr>
          <w:rFonts w:ascii="Times New Roman" w:hAnsi="Times New Roman"/>
          <w:b/>
        </w:rPr>
        <w:t>VERBALE N.4 del 25/5/2014</w:t>
      </w:r>
    </w:p>
    <w:p w:rsidR="00C12D72" w:rsidRDefault="00C12D72" w:rsidP="00C12D72">
      <w:pPr>
        <w:jc w:val="both"/>
        <w:rPr>
          <w:rFonts w:ascii="Times New Roman" w:hAnsi="Times New Roman"/>
        </w:rPr>
      </w:pPr>
      <w:r w:rsidRPr="00CB2915">
        <w:rPr>
          <w:rFonts w:ascii="Times New Roman" w:hAnsi="Times New Roman"/>
        </w:rPr>
        <w:t xml:space="preserve">lettera </w:t>
      </w:r>
      <w:r>
        <w:rPr>
          <w:rFonts w:ascii="Times New Roman" w:hAnsi="Times New Roman"/>
        </w:rPr>
        <w:t>d</w:t>
      </w:r>
      <w:r w:rsidRPr="00CB2915">
        <w:rPr>
          <w:rFonts w:ascii="Times New Roman" w:hAnsi="Times New Roman"/>
        </w:rPr>
        <w:t>) dell’art.14 comma 4:</w:t>
      </w:r>
    </w:p>
    <w:p w:rsidR="00C12D72" w:rsidRDefault="00C12D72" w:rsidP="00C12D72">
      <w:pPr>
        <w:numPr>
          <w:ilvl w:val="0"/>
          <w:numId w:val="1"/>
        </w:numPr>
        <w:jc w:val="both"/>
        <w:rPr>
          <w:rFonts w:ascii="Times New Roman" w:hAnsi="Times New Roman"/>
        </w:rPr>
      </w:pPr>
      <w:r w:rsidRPr="003F2B16">
        <w:rPr>
          <w:rFonts w:ascii="Times New Roman" w:hAnsi="Times New Roman"/>
        </w:rPr>
        <w:t>Esame documentazione e colloquio informativo con il  responsabile delle risorse umane in ordine ai programmi di lavoro ed alla produttività. In particolare l’OIV esamina la coerenza di tali programmi con il piano delle performance</w:t>
      </w:r>
      <w:r>
        <w:rPr>
          <w:rFonts w:ascii="Times New Roman" w:hAnsi="Times New Roman"/>
        </w:rPr>
        <w:t>;</w:t>
      </w:r>
    </w:p>
    <w:p w:rsidR="00C12D72" w:rsidRDefault="00C12D72" w:rsidP="00C12D72">
      <w:pPr>
        <w:jc w:val="both"/>
        <w:rPr>
          <w:rFonts w:ascii="Times New Roman" w:hAnsi="Times New Roman"/>
        </w:rPr>
      </w:pPr>
      <w:r>
        <w:rPr>
          <w:rFonts w:ascii="Times New Roman" w:hAnsi="Times New Roman"/>
        </w:rPr>
        <w:t>A</w:t>
      </w:r>
      <w:r w:rsidRPr="00CB2915">
        <w:rPr>
          <w:rFonts w:ascii="Times New Roman" w:hAnsi="Times New Roman"/>
        </w:rPr>
        <w:t xml:space="preserve">rt.14 comma </w:t>
      </w:r>
      <w:r>
        <w:rPr>
          <w:rFonts w:ascii="Times New Roman" w:hAnsi="Times New Roman"/>
        </w:rPr>
        <w:t xml:space="preserve">5 attività per </w:t>
      </w:r>
      <w:r w:rsidRPr="00CB2915">
        <w:rPr>
          <w:rFonts w:ascii="Times New Roman" w:hAnsi="Times New Roman"/>
        </w:rPr>
        <w:t xml:space="preserve"> la prima indagine sul Benessere organizzativo;</w:t>
      </w:r>
    </w:p>
    <w:p w:rsidR="00C12D72" w:rsidRDefault="00C12D72" w:rsidP="00C12D72">
      <w:pPr>
        <w:jc w:val="both"/>
        <w:rPr>
          <w:rFonts w:ascii="Times New Roman" w:hAnsi="Times New Roman"/>
          <w:b/>
        </w:rPr>
      </w:pPr>
      <w:r>
        <w:rPr>
          <w:rFonts w:ascii="Times New Roman" w:hAnsi="Times New Roman"/>
          <w:b/>
        </w:rPr>
        <w:t>VERBALE N.5 del 6/8/2014</w:t>
      </w:r>
    </w:p>
    <w:p w:rsidR="00C12D72" w:rsidRPr="00CB2915" w:rsidRDefault="00C12D72" w:rsidP="00C12D72">
      <w:pPr>
        <w:jc w:val="both"/>
        <w:rPr>
          <w:rFonts w:ascii="Times New Roman" w:hAnsi="Times New Roman"/>
        </w:rPr>
      </w:pPr>
      <w:r w:rsidRPr="00CB2915">
        <w:rPr>
          <w:rFonts w:ascii="Times New Roman" w:hAnsi="Times New Roman"/>
        </w:rPr>
        <w:t>lettera e) dell’art.14 comma4:</w:t>
      </w:r>
    </w:p>
    <w:p w:rsidR="00C12D72" w:rsidRDefault="00C12D72" w:rsidP="00C12D72">
      <w:pPr>
        <w:numPr>
          <w:ilvl w:val="0"/>
          <w:numId w:val="1"/>
        </w:numPr>
        <w:jc w:val="both"/>
        <w:rPr>
          <w:rFonts w:ascii="Times New Roman" w:hAnsi="Times New Roman"/>
        </w:rPr>
      </w:pPr>
      <w:r w:rsidRPr="00151E99">
        <w:rPr>
          <w:rFonts w:ascii="Times New Roman" w:hAnsi="Times New Roman"/>
        </w:rPr>
        <w:t>Proposta di valutazi</w:t>
      </w:r>
      <w:r>
        <w:rPr>
          <w:rFonts w:ascii="Times New Roman" w:hAnsi="Times New Roman"/>
        </w:rPr>
        <w:t>one dei Responsabili di Settore e del Segretario;</w:t>
      </w:r>
    </w:p>
    <w:p w:rsidR="00C12D72" w:rsidRDefault="00C12D72" w:rsidP="00C12D72">
      <w:pPr>
        <w:jc w:val="both"/>
        <w:rPr>
          <w:rFonts w:ascii="Times New Roman" w:hAnsi="Times New Roman"/>
          <w:b/>
        </w:rPr>
      </w:pPr>
      <w:r>
        <w:rPr>
          <w:rFonts w:ascii="Times New Roman" w:hAnsi="Times New Roman"/>
          <w:b/>
        </w:rPr>
        <w:t>VERBALE N.6 del 9/10/2014</w:t>
      </w:r>
    </w:p>
    <w:p w:rsidR="00C12D72" w:rsidRPr="00CB2915" w:rsidRDefault="00C12D72" w:rsidP="00C12D72">
      <w:pPr>
        <w:numPr>
          <w:ilvl w:val="0"/>
          <w:numId w:val="1"/>
        </w:numPr>
        <w:jc w:val="both"/>
        <w:rPr>
          <w:rFonts w:ascii="Times New Roman" w:hAnsi="Times New Roman"/>
        </w:rPr>
      </w:pPr>
      <w:r w:rsidRPr="00CB2915">
        <w:rPr>
          <w:rFonts w:ascii="Times New Roman" w:hAnsi="Times New Roman"/>
        </w:rPr>
        <w:t>Lettera a) dell’art.14 comma 4:</w:t>
      </w:r>
    </w:p>
    <w:p w:rsidR="00C12D72" w:rsidRPr="005A61AD" w:rsidRDefault="00C12D72" w:rsidP="00C12D72">
      <w:pPr>
        <w:jc w:val="both"/>
        <w:rPr>
          <w:rFonts w:ascii="Times New Roman" w:hAnsi="Times New Roman"/>
        </w:rPr>
      </w:pPr>
      <w:r w:rsidRPr="005A61AD">
        <w:rPr>
          <w:rFonts w:ascii="Times New Roman" w:hAnsi="Times New Roman"/>
        </w:rPr>
        <w:t xml:space="preserve">L’OIV verifica quindi la completezza delle </w:t>
      </w:r>
      <w:r w:rsidRPr="00FE4196">
        <w:rPr>
          <w:rFonts w:ascii="Times New Roman" w:hAnsi="Times New Roman"/>
          <w:b/>
        </w:rPr>
        <w:t>carte di lavoro informatizzate</w:t>
      </w:r>
      <w:r w:rsidRPr="005A61AD">
        <w:rPr>
          <w:rFonts w:ascii="Times New Roman" w:hAnsi="Times New Roman"/>
        </w:rPr>
        <w:t xml:space="preserve"> </w:t>
      </w:r>
      <w:r>
        <w:rPr>
          <w:rFonts w:ascii="Times New Roman" w:hAnsi="Times New Roman"/>
        </w:rPr>
        <w:t xml:space="preserve">2014 </w:t>
      </w:r>
      <w:r w:rsidRPr="005A61AD">
        <w:rPr>
          <w:rFonts w:ascii="Times New Roman" w:hAnsi="Times New Roman"/>
        </w:rPr>
        <w:t>che devono essere in rete del C</w:t>
      </w:r>
      <w:r>
        <w:rPr>
          <w:rFonts w:ascii="Times New Roman" w:hAnsi="Times New Roman"/>
        </w:rPr>
        <w:t>omune di Castel di S</w:t>
      </w:r>
      <w:r w:rsidRPr="005A61AD">
        <w:rPr>
          <w:rFonts w:ascii="Times New Roman" w:hAnsi="Times New Roman"/>
        </w:rPr>
        <w:t xml:space="preserve">angro alla cartella OIV che deve essere istituita. </w:t>
      </w:r>
    </w:p>
    <w:p w:rsidR="001C15D7" w:rsidRDefault="001C15D7"/>
    <w:sectPr w:rsidR="001C15D7" w:rsidSect="001C15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CB"/>
    <w:multiLevelType w:val="hybridMultilevel"/>
    <w:tmpl w:val="F1DAEA50"/>
    <w:lvl w:ilvl="0" w:tplc="22EE7A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2D72"/>
    <w:rsid w:val="001C15D7"/>
    <w:rsid w:val="00B675B7"/>
    <w:rsid w:val="00C12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D7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12D7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10"/>
    <w:rsid w:val="00C12D72"/>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gegovpa.it/casteldisangro/AmministrazioneTrasparente/Performance/RelazioneOIV.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Company>Hewlett-Packard Company</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2015-10-01T12:07:00Z</dcterms:created>
  <dcterms:modified xsi:type="dcterms:W3CDTF">2015-10-01T12:11:00Z</dcterms:modified>
</cp:coreProperties>
</file>